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rFonts w:ascii="Calibri" w:hAnsi="Calibri" w:cs="Arial"/>
          <w:b/>
          <w:b/>
          <w:sz w:val="28"/>
          <w:szCs w:val="28"/>
          <w:lang w:eastAsia="ar-SA"/>
        </w:rPr>
      </w:pPr>
      <w:r>
        <w:rPr>
          <w:rFonts w:cs="Arial" w:ascii="Calibri" w:hAnsi="Calibri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ascii="Calibri" w:hAnsi="Calibri" w:cs="Arial"/>
          <w:b/>
          <w:b/>
          <w:sz w:val="28"/>
          <w:szCs w:val="28"/>
          <w:lang w:eastAsia="ar-SA"/>
        </w:rPr>
      </w:pPr>
      <w:r>
        <w:rPr>
          <w:rFonts w:cs="Arial" w:ascii="Calibri" w:hAnsi="Calibri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360"/>
        <w:jc w:val="center"/>
        <w:rPr>
          <w:rFonts w:ascii="Calibri" w:hAnsi="Calibri" w:cs="Arial"/>
          <w:b/>
          <w:b/>
          <w:sz w:val="36"/>
          <w:szCs w:val="28"/>
          <w:lang w:eastAsia="ar-SA"/>
        </w:rPr>
      </w:pPr>
      <w:r>
        <w:rPr>
          <w:rFonts w:cs="Arial" w:ascii="Calibri" w:hAnsi="Calibri"/>
          <w:b/>
          <w:sz w:val="36"/>
          <w:szCs w:val="28"/>
          <w:lang w:eastAsia="ar-SA"/>
        </w:rPr>
        <w:t xml:space="preserve">WYMAGANIA EDUKACYJNE NA POSZCZEGÓLNE OCENY </w:t>
      </w:r>
    </w:p>
    <w:p>
      <w:pPr>
        <w:pStyle w:val="Normal"/>
        <w:suppressAutoHyphens w:val="true"/>
        <w:spacing w:lineRule="auto" w:line="360"/>
        <w:jc w:val="center"/>
        <w:rPr>
          <w:rFonts w:ascii="Calibri" w:hAnsi="Calibri" w:cs="Arial"/>
          <w:b/>
          <w:b/>
          <w:szCs w:val="28"/>
          <w:lang w:eastAsia="ar-SA"/>
        </w:rPr>
      </w:pPr>
      <w:r>
        <w:rPr>
          <w:rFonts w:cs="Arial" w:ascii="Calibri" w:hAnsi="Calibri"/>
          <w:b/>
          <w:sz w:val="32"/>
          <w:szCs w:val="28"/>
          <w:lang w:eastAsia="ar-SA"/>
        </w:rPr>
        <w:t>KLASA IV SZKOŁY PODSTAWOWEJ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Poniższy zestaw wymagań edukacyjnych na poszczególne oceny uwzględnia planowane osiągnięcia ucznia w zakresie wiedzy i umiejętności zawarte w rozkładzie materiału i planie wynikowym zintegrowanym z serią </w:t>
      </w:r>
      <w:r>
        <w:rPr>
          <w:rFonts w:ascii="Cambria" w:hAnsi="Cambria"/>
          <w:i/>
        </w:rPr>
        <w:t>Podróże w czasie</w:t>
      </w:r>
      <w:r>
        <w:rPr>
          <w:rFonts w:ascii="Cambria" w:hAnsi="Cambria"/>
        </w:rPr>
        <w:t>.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Zestaw ten to jedynie propozycja. Nauczyciel może wykorzystać przedstawiony podział wymagań w swojej pracy dydaktycznej lub zmodyfikować go tak, by w pełni odpowiadał on specyfice klasy i indywidualnym możliwościom uczniów, z którymi pracuje.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Kursywą zaznaczone są tematy dodatkowe ujęte w podstawie programowej. </w:t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>
            <w:pPr>
              <w:pStyle w:val="Akapitzlist1"/>
              <w:widowControl w:val="false"/>
              <w:ind w:left="0" w:hang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O mierzeniu czasu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sposób mierzenia czasu, którym posługują się ludzie w Europie,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zasady ustalania wieku i połowy wieku dla danego wydarzenia historycznego.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początek obowiązującemu w Europie systemowi datacji.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kalendarz,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 osi czasu.</w:t>
            </w:r>
          </w:p>
          <w:p>
            <w:pPr>
              <w:pStyle w:val="Akapitzlist1"/>
              <w:widowControl w:val="false"/>
              <w:ind w:left="0" w:hang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obliczać upływ czasu między wydarzeniami historycznymi i umieszczać je na osi czasu.</w:t>
            </w:r>
          </w:p>
          <w:p>
            <w:pPr>
              <w:pStyle w:val="Normal"/>
              <w:widowControl w:val="false"/>
              <w:suppressAutoHyphens w:val="true"/>
              <w:ind w:left="-14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chronologia,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>
            <w:pPr>
              <w:pStyle w:val="Akapitzlist1"/>
              <w:widowControl w:val="false"/>
              <w:ind w:left="0" w:hang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jakim celu mierzy się czas.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poznane typy zegarów.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Jak poznać przeszłość?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źródła historyczne, źródła pisane, źródła materialne, źródła ustne.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źródeł pisanych i materialnych.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wykopaliska archeologiczne, kronika,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przykłady muzeów.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poznawaniu historii odgrywają źródła historyczne.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okoliczności powstania i upadku osady w Biskupinie.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odkryciach dokonanych przez archeologów w Biskupinie.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 Moja rodzina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 przykładzie własnej rodziny wymienić osoby wchodzące w skład rodziny małej i rodziny wielkiej.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wydarzeniu z historii swojej rodziny,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wyrazić opinię na temat gromadzenia pamiątek rodzinnych i kultywowania tradycji rodzinnych,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własnej pamiątce rodzinnej.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innych pamiątek rodzinnych jako źródeł historycznych.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ind w:left="18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 Ojczyzna małych ojczyzn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sąsiadów Polski,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nazwy regionów wchodzących w skład Polski.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różnicę między małą ojczyzną a ojczyzną,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znane postacie i legendy związane z historią własnej miejscowości,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powiązać najważniejsze zabytki i symbole kultury polskiej z właściwymi regionami i wskazać je na mapie,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własnej miejscowości.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wady ukształtowania powierzchni Polski.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Jana Henryka Dąbrowskiego, Józefa Wybickiego,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zwrotki i refren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suppressAutoHyphens w:val="true"/>
              <w:ind w:left="110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>
              <w:rPr>
                <w:rFonts w:ascii="Cambria" w:hAnsi="Cambria"/>
                <w:sz w:val="22"/>
                <w:szCs w:val="22"/>
              </w:rPr>
              <w:t>obywatel, miejsce pamięci narodowej, święto narodowe.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co zadecydowało o nadaniu konkretnym terenom, budowlom i obiektom statusu miejsc pamięci narodowej,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najważniejsze miejsca pamięci narodowej i wytłumaczyć ich znaczenie,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wymienić różnice między legendą a historią.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opisać warunki naturalne panujące na ziemiach polskich w X w.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przyczyny, które skłoniły Mieszka I do przyjęcia chrztu.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>pojęcie: poganin.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państwo Mieszka 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gród.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wyjaśnić, jak zmieniła się sytuacja polityczna Polski w Europie po chrzcie Mieszka I.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>datę: ok. 960.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wygląd grodu w Gnieźnie,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co się zmieniło w państwie Polan po przyjęciu chrztu przez Mieszka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 Pierwszy król Polski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zjazd gnieźnieński.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997.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wyprawa misyjna, wojowie.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 czasie panowania Bolesława Chrobrego,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na mapie grody, które ogłoszono w 1000 r. biskupstwami.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>
            <w:pPr>
              <w:pStyle w:val="ListParagraph"/>
              <w:widowControl w:val="false"/>
              <w:suppressAutoHyphens w:val="true"/>
              <w:ind w:left="145" w:hang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 przyczyny zorganizowania wyprawy misyjnej do Prus,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skutki wyprawy misyjnej do Prus,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dokonania Bolesława Chrobrego.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symbolicznej koronacji Bolesława Chrobrego dokonanej przez Ottona III,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powstania Drzwi Gnieźnieńskich i wyjaśnić, co przedstawiają.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Wojna Bolesława Krzywoustego z Niemcami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 Zbigniewem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 Henrykiem V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machinach oblężniczych używanych w dawnych konfliktach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>
            <w:pPr>
              <w:pStyle w:val="ListParagraph"/>
              <w:widowControl w:val="false"/>
              <w:suppressAutoHyphens w:val="true"/>
              <w:ind w:left="110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suppressAutoHyphens w:val="true"/>
              <w:ind w:left="145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Franciszka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czym zajmowali się franciszkanie i dominikanie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w jaki sposób działalność benedyktynów przyczyniła się do rozwoju Europy, w tym ziem polskich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 Król Kazimierz Wielki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zakon krzyżacki.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umiejscowić w czasie państwo Kazimierza Wielkiego.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wskazać na mapie zmiany terytorialne państwa polskiego w czasie panowania Kazimierza Wielkiego.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panowaniu Kazimierza Wielkiego z uwzględnieniem powstania Akademii Krakowskiej, zjazdu monarchów w Krakowie i uczty u Wierzynka.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rajca.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co oznacza stwierdzenie, że Kazimierz Wielki zastał Polskę drewnianą, a zostawił murowaną,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dokonania Kazimierza Wielkiego.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okoliczności, w jakich doszło do rozbicia dzielnicowego Polski,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Litwą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1385, 1386,  1386–1572,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  <w:noBreakHyphen/>
              <w:t>litewskiego po zawarciu unii.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scharakteryzować osobę Jadwigi i wymienić jej zasługi dla kultury polskiej,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okoliczności, w jakich Jadwiga stała się władczynią Polski,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okoliczności, w jakich doszło do zawarcia unii Polski i Litwy.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co oznacza określenie rycerz bez skazy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 Wielka wojna z zakonem krzyżackimi</w:t>
            </w:r>
          </w:p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lipca 1410, 1411,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Zawiszy Czarnego z Garbowa,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przyczynach i skutkach bitwy pod Grunwaldem,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 najważniejszych uczestników bitwy pod Grunwaldem.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relacje miedzy Polską, Litwą a zakonem krzyżackim po 1386 r.,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XIV w. Polska nie mogła odzyskać ziem utraconych na rzecz zakonu krzyżackiego.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>
            <w:pPr>
              <w:pStyle w:val="ListParagraph"/>
              <w:widowControl w:val="false"/>
              <w:ind w:left="180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-krzyżackie w XIV w.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znaczenie dla Polski odzyskania dostępu do morza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omówić zmiany gospodarcze na ziemiach polskich w związku z odzyskaniem Pomorza Gdańskiego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>
            <w:pPr>
              <w:pStyle w:val="ListParagraph"/>
              <w:widowControl w:val="false"/>
              <w:ind w:left="162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żak, Uniwersytet Jagielloński.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sz w:val="22"/>
                <w:szCs w:val="22"/>
              </w:rPr>
              <w:t xml:space="preserve">teolog, </w:t>
            </w:r>
            <w:r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wymienić przedmioty wykładane w Akademii Krakowskiej,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ramy chronologiczne złotego wieku w kulturze polskiej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czasy zygmuntowskie, złoty wiek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przedstawić wkład Zygmunta I Starego i Zygmunta II Augusta w rozwój kultury polskiej w XVI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na czym polegał wpływ królowej Bony na rozwój kultury polskiej w XVI w.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wygląd zamku królewskiego na Wawelu i kaplicy Zygmuntowskiej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Jana Zamoyskiego.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przyczyny wojny Rzeczpospolitej z Moskwą. 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Moskwa, magnat (magnateria), rozejm.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 szlachtą.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 czym polegały zagrożenia związane z wolną elekcją.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 Moskwą,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urzędy sprawowane przez Jana Zamoyskiego.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>
            <w:pPr>
              <w:pStyle w:val="ListParagraph"/>
              <w:widowControl w:val="false"/>
              <w:ind w:left="180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uzasadnić tezę, że Jan Zamoyski był mężem stanu.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przeora Augustyna Kordeckiego, Stefana Czarnieckiego.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potop, wojna szarpana.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postanowienia pokoju kończącego wojnę ze Szwecją.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jaki wpływ na przebieg potopu miała taktyka wojny szarpanej.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wyjaśnić przyczyny konfliktu Rzeczpospolitej ze Szwecją i z Moskwą w XVII w.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konfliktu między Rzeczpospolitej a Szwecją,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przyczyny reakcji Polaków na wieść o ataku szwedzkim na klasztor.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jak zakończył się konflikt Rzeczpospolitej z Moskwą,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 XVII w.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wygląd pałacu w Wilanowie.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porównać uzbrojenie husarza i janczara,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organizację państwa tureckiego i jego cele polityczne.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 Łazienkach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wpływ Stanisława Augusta Poniatowskiego na kulturę polską w XVIII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wyglądzie Łazienek Królewskich i znajdujących się tam zabytkach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wyboru Stanisława Poniatowskiego na króla Polski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sytuację Rzeczpospolitej w czasach saskich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ocenić dokonania Stanisława Augusta Poniatowskiego w dziedzinie kultury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ziemie odebrane Rzeczpospolitej w I, II i III rozbiorze.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klęski powstania kościuszkowskiego i III rozbioru Rzeczpospolitej.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utraty niepodległości przez Polskę.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okoliczności, w jakich doszło do I rozbioru Rzeczpospolitej,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 doszło do wyemigrowania części Polaków z kraju po upadku powstania kościuszkowskiego,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Pieśni Legionów Polskich we Włoszech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Romualda Traugutta.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powstania listopadowego i powstania styczniowego.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>
            <w:pPr>
              <w:pStyle w:val="ListParagraph"/>
              <w:widowControl w:val="false"/>
              <w:ind w:left="127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Rząd Narodowy,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przestrzeni powstanie styczniowe.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kongres wiedeński, konfiskata mienia, zsyłka.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porównać stosunek sił między Polakami a wojskiem rosyjskim w 1863 r.,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okoliczności upadku powstania styczniowego.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germanizacji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w jaki sposób Polacy walczyli z rusyfikacją i z germanizacją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310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położeniu kobiet i mężczyzn w XIX w.,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 w.</w:t>
            </w:r>
          </w:p>
          <w:p>
            <w:pPr>
              <w:pStyle w:val="ListParagraph"/>
              <w:widowControl w:val="false"/>
              <w:suppressAutoHyphens w:val="true"/>
              <w:ind w:left="145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>
            <w:pPr>
              <w:pStyle w:val="ListParagraph"/>
              <w:widowControl w:val="false"/>
              <w:ind w:left="162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-Curie we Francji.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działalności naukowej Marii Skłodowskiej-Curie.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 doszło do odzyskania przez Polskę niepodległości.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1914–1918.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VIII 1914.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>
            <w:pPr>
              <w:pStyle w:val="ListParagraph"/>
              <w:widowControl w:val="false"/>
              <w:ind w:left="145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-wojskowych.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wojny światowej.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 czym polegała różnica między I wojną światową a wcześniejszymi konfliktami.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działalność polityczną i wojskową Józefa Piłsudskiego.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dostrzec związki między sytuacją międzynarodową podczas I wojny światowej a wydarzeniami na ziemiach polskich.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>
            <w:pPr>
              <w:pStyle w:val="Normal"/>
              <w:widowControl w:val="false"/>
              <w:snapToGrid w:val="false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>
            <w:pPr>
              <w:pStyle w:val="ListParagraph"/>
              <w:widowControl w:val="false"/>
              <w:ind w:left="110" w:hanging="0"/>
              <w:rPr>
                <w:rFonts w:ascii="Cambria" w:hAnsi="Cambria"/>
                <w:i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Wisłą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wyjaśnić, dlaczego Bitwę Warszawską nazwano Cudem nad Wisłą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 powstania obrazu Jerzego Kossaka Cud nad Wisłą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Eugeniusza Kwiatkowskiego,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główne budowle w Gdyni okresu międzywojennego,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portu i miasta Gdyni, 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sytuację gospodarczą na ziemiach polskich po odzyskaniu niepodległości.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1939,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Adolfa Hitlera, Aleksego Dawidowskiego „Alka”, Jana Bytnara „Rudego”, Tadeusza Zawadzkiego „Zośki”,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państwa, które we IX 1939 r. zaatakowały Polskę.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najważniejsze akcje przeprowadzone przez Szare Szeregi.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hitlerowców wobec ludności polskiej na ziemiach okupowanych,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organizację Szarych Szeregów w czasie okupacji niemieckiej.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organizację ruchu oporu na ziemiach polskich,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plany Stalina wobec Polski.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Witolda Pileckiego i Danuty Siedzikówny „Inki” w czasie wojny.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okoliczności zakończenia II wojny światowej.</w:t>
            </w:r>
          </w:p>
          <w:p>
            <w:pPr>
              <w:pStyle w:val="ListParagraph"/>
              <w:widowControl w:val="false"/>
              <w:ind w:left="145" w:hanging="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 komunistami w Polsce.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okoliczności aresztowania, procesu i śmierci Witolda Pileckiego i Danuty Siedzikówny „Inki”.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sposoby walki komunistów z przeciwnikami.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pojęcie: Polska Rzeczpospolita Ludowa (PRL).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 przyczyny odwilży i wskazać jej główne przejawy.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sytuację w państwie polskim po przejęciu władzy przez komunistów.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tbl>
      <w:tblPr>
        <w:tblpPr w:bottomFromText="200" w:horzAnchor="margin" w:leftFromText="141" w:rightFromText="141" w:tblpX="-110" w:tblpY="41" w:topFromText="0" w:vertAnchor="text"/>
        <w:tblW w:w="1447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00"/>
        <w:gridCol w:w="2533"/>
        <w:gridCol w:w="2534"/>
        <w:gridCol w:w="2535"/>
        <w:gridCol w:w="2534"/>
        <w:gridCol w:w="2533"/>
      </w:tblGrid>
      <w:tr>
        <w:trPr>
          <w:trHeight w:val="475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31 VIII 1980, 13 XII 1981, 1989,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porozumienia sierpniowe, NSZZ „Solidarność”, stan wojenny, rozmowy okrągłego stołu.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>
              <w:rPr>
                <w:rFonts w:ascii="Cambria" w:hAnsi="Cambria"/>
                <w:iCs/>
                <w:sz w:val="22"/>
                <w:szCs w:val="22"/>
              </w:rPr>
              <w:t>żądania robotników zawarte w 21 postulatach.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na czym polegała walka bez przemocy.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pojęcie: internowani. 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przedstawić stosunek władz komunistycznych do „Solidarności”,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okoliczności wprowadzenia i przebieg stanu wojennego w Polsce.</w:t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1981, 1983.</w:t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uppressAutoHyphens w:val="true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dostrzec krajowy i międzynarodowy odzew, jaki wywołała walka bez przemocy.</w:t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7390435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rFonts w:eastAsiaTheme="minorHAns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22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b380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380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kapitzlist1" w:customStyle="1">
    <w:name w:val="Akapit z listą1"/>
    <w:basedOn w:val="Normal"/>
    <w:qFormat/>
    <w:rsid w:val="00ac1d33"/>
    <w:pPr>
      <w:suppressAutoHyphens w:val="true"/>
      <w:spacing w:before="0" w:after="0"/>
      <w:ind w:left="720" w:hanging="0"/>
      <w:contextualSpacing/>
    </w:pPr>
    <w:rPr>
      <w:rFonts w:eastAsia="Calibri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c1d3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22bf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b38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b380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LibreOffice/7.2.0.4$Windows_X86_64 LibreOffice_project/9a9c6381e3f7a62afc1329bd359cc48accb6435b</Application>
  <AppVersion>15.0000</AppVersion>
  <Pages>38</Pages>
  <Words>5496</Words>
  <Characters>34844</Characters>
  <CharactersWithSpaces>38798</CharactersWithSpaces>
  <Paragraphs>1280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2017-08-02T08:39:00Z</dcterms:created>
  <dc:creator>Alicja AT. Tomaszewska</dc:creator>
  <dc:description/>
  <dc:language>pl-PL</dc:language>
  <cp:lastModifiedBy>Alicja AT. Tomaszewska</cp:lastModifiedBy>
  <cp:lastPrinted>2017-08-03T11:31:00Z</cp:lastPrinted>
  <dcterms:modified xsi:type="dcterms:W3CDTF">2017-08-07T09:05:00Z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